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F2C39" w14:textId="77777777" w:rsidR="0088096B" w:rsidRPr="0088096B" w:rsidRDefault="0088096B" w:rsidP="0088096B">
      <w:pPr>
        <w:suppressAutoHyphens/>
        <w:spacing w:after="140" w:line="240" w:lineRule="auto"/>
        <w:jc w:val="right"/>
        <w:rPr>
          <w:rFonts w:ascii="Times New Roman" w:eastAsia="Noto Serif CJK SC" w:hAnsi="Times New Roman" w:cs="Lohit Devanagari"/>
          <w:i/>
          <w:iCs/>
          <w:sz w:val="24"/>
          <w:szCs w:val="24"/>
          <w:u w:val="single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i/>
          <w:iCs/>
          <w:sz w:val="24"/>
          <w:szCs w:val="24"/>
          <w:u w:val="single"/>
          <w:lang w:eastAsia="zh-CN" w:bidi="hi-IN"/>
          <w14:ligatures w14:val="none"/>
        </w:rPr>
        <w:t>6. melléklet a 24/2026. (X. 26.) önkormányzati rendelethez</w:t>
      </w:r>
    </w:p>
    <w:p w14:paraId="1C504DE4" w14:textId="77777777" w:rsidR="0088096B" w:rsidRPr="0088096B" w:rsidRDefault="0088096B" w:rsidP="0088096B">
      <w:pPr>
        <w:suppressAutoHyphens/>
        <w:spacing w:before="240" w:after="480" w:line="240" w:lineRule="auto"/>
        <w:jc w:val="center"/>
        <w:rPr>
          <w:rFonts w:ascii="Times New Roman" w:eastAsia="Noto Serif CJK SC" w:hAnsi="Times New Roman" w:cs="Lohit Devanagari"/>
          <w:b/>
          <w:bCs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b/>
          <w:bCs/>
          <w:sz w:val="24"/>
          <w:szCs w:val="24"/>
          <w:lang w:eastAsia="zh-CN" w:bidi="hi-IN"/>
          <w14:ligatures w14:val="none"/>
        </w:rPr>
        <w:t>Lakóövezetek meghatározása</w:t>
      </w:r>
    </w:p>
    <w:p w14:paraId="4FC8ECBC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1. Adyváros</w:t>
      </w:r>
    </w:p>
    <w:p w14:paraId="6A2EB805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Mészáros L. u. – Fehérvári út – Szauter F. u. – Szent Imre út – Bartók B. út – Hermann O. u. – Tihanyi Á. út – Sport u. – Szabolcska M. – Mester u. által bezárt terület a Szent Imre út 45-53. sz. alatti épületek kivételével.</w:t>
      </w:r>
    </w:p>
    <w:p w14:paraId="1D567BD9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2. Bácsa</w:t>
      </w:r>
    </w:p>
    <w:p w14:paraId="19D9FA1E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9030 postai irányítószámhoz tartozó terület.</w:t>
      </w:r>
    </w:p>
    <w:p w14:paraId="5A5D12E9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3. Belváros</w:t>
      </w:r>
    </w:p>
    <w:p w14:paraId="3FAB4F75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A Vas G. u. épületei kivételével a 9021-9022 postai irányítószámhoz tartozó terület, valamint a dr. Némethy E. sétány és a Ráth M. tér épületei.</w:t>
      </w:r>
    </w:p>
    <w:p w14:paraId="2A141B0A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4. Gyárváros</w:t>
      </w:r>
    </w:p>
    <w:p w14:paraId="605E18CF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9027 postai irányítószámhoz tartozó terület, valamint a Vas G. u. épületei.</w:t>
      </w:r>
    </w:p>
    <w:p w14:paraId="14EAB6A9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5. Győrszentiván</w:t>
      </w:r>
    </w:p>
    <w:p w14:paraId="0B6E35BC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9011 postai irányítószámhoz tartozó terület.</w:t>
      </w:r>
    </w:p>
    <w:p w14:paraId="1E101396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6. Jancsifalu</w:t>
      </w:r>
    </w:p>
    <w:p w14:paraId="69CC345C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proofErr w:type="spellStart"/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Urbantsok</w:t>
      </w:r>
      <w:proofErr w:type="spellEnd"/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 xml:space="preserve"> u. – Ipar u. – Fehérvári út által bezárt terület.</w:t>
      </w:r>
    </w:p>
    <w:p w14:paraId="5A01A994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7. Marcalváros I.</w:t>
      </w:r>
    </w:p>
    <w:p w14:paraId="0CD36BC9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Mónus I. u. – Nagy Imre út – Szauter F. u. – Bakonyi út által bezárt terület.</w:t>
      </w:r>
    </w:p>
    <w:p w14:paraId="25DAA968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8. Marcalváros II.</w:t>
      </w:r>
    </w:p>
    <w:p w14:paraId="50A1B4C6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 xml:space="preserve">Illyés </w:t>
      </w:r>
      <w:proofErr w:type="spellStart"/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Gy</w:t>
      </w:r>
      <w:proofErr w:type="spellEnd"/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. u. – Mécs L. u. – Pápai út által bezárt terület.</w:t>
      </w:r>
    </w:p>
    <w:p w14:paraId="66A10065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9. Ménfőcsanak</w:t>
      </w:r>
    </w:p>
    <w:p w14:paraId="4999152E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9012 postai irányítószámhoz tartozó terület</w:t>
      </w:r>
    </w:p>
    <w:p w14:paraId="10CE7488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10. Nádorváros I.</w:t>
      </w:r>
    </w:p>
    <w:p w14:paraId="5B5951AF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Eszperantó u. – Tihanyi Á. út – Mészáros L. u. – Mester u. – Szabolcska M. u. – Sport u. – Tihanyi Á. út – Hermann O. u. – Verseny u. – Szigethy A. út – Szent Imre út – Mónus I. u. – Bakonyi út – Kert u. – Kálvária u. által bezárt terület, valamint a Szent Imre út 45-53. sz. alatti épület.</w:t>
      </w:r>
    </w:p>
    <w:p w14:paraId="0C9F7CF8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11. Nádorváros II.</w:t>
      </w:r>
    </w:p>
    <w:p w14:paraId="5D89FA21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Honvéd u. – Kálvária u. – Bakonyi út – Közép u. által bezárt terület.</w:t>
      </w:r>
    </w:p>
    <w:p w14:paraId="114D9B22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lastRenderedPageBreak/>
        <w:t>12. Révfalu I.</w:t>
      </w:r>
    </w:p>
    <w:p w14:paraId="69452457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 xml:space="preserve">Az Ady E. u., a </w:t>
      </w:r>
      <w:proofErr w:type="spellStart"/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Kálóczy</w:t>
      </w:r>
      <w:proofErr w:type="spellEnd"/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 xml:space="preserve"> tér, a Rónay J. u. épületei.</w:t>
      </w:r>
    </w:p>
    <w:p w14:paraId="1C901844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13. Révfalu II.</w:t>
      </w:r>
    </w:p>
    <w:p w14:paraId="5EFFA971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 xml:space="preserve">A Révfalu I. lakóövezethez tartozó terület kivételével a 9026 postai irányítószámhoz tartozó terület, valamint a Bácsai út 184. és a </w:t>
      </w:r>
      <w:proofErr w:type="spellStart"/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Votinszky</w:t>
      </w:r>
      <w:proofErr w:type="spellEnd"/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 xml:space="preserve"> u. épületei.</w:t>
      </w:r>
    </w:p>
    <w:p w14:paraId="11142B7F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 xml:space="preserve">14. </w:t>
      </w:r>
      <w:proofErr w:type="spellStart"/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Sárás</w:t>
      </w:r>
      <w:proofErr w:type="spellEnd"/>
    </w:p>
    <w:p w14:paraId="4DD559A3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 xml:space="preserve">9029 postai irányítószámhoz tartozó terület, a Bácsai út 184. és a </w:t>
      </w:r>
      <w:proofErr w:type="spellStart"/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Votinszky</w:t>
      </w:r>
      <w:proofErr w:type="spellEnd"/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 xml:space="preserve"> u. épületei kivételével.</w:t>
      </w:r>
    </w:p>
    <w:p w14:paraId="0CDCAC64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15. Szabadhegy I.</w:t>
      </w:r>
    </w:p>
    <w:p w14:paraId="08CE3A92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9028 postai irányítószámhoz tartozó területen a József A. úttól északra fekvő terület, a Fehérvári út 100. sz. alatti épület kivételével</w:t>
      </w:r>
    </w:p>
    <w:p w14:paraId="6AA99607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16. Szabadhegy II.</w:t>
      </w:r>
    </w:p>
    <w:p w14:paraId="06ED8415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9028 postai irányítószámhoz tartozó területen a József A. út és az attól délre fekvő terület, valamint a Fehérvári út 100. és a Szent Imre út 108. sz. alatti épület.</w:t>
      </w:r>
    </w:p>
    <w:p w14:paraId="60F0BE91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17. Sziget</w:t>
      </w:r>
    </w:p>
    <w:p w14:paraId="0ECBAF93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A Híd u. és a Bercsényi liget páros oldalának kivételével a Töltésszer u. – Híd u. – Bercsényi liget – Olimpia u. – Hajós A. u. által bezárt terület, valamint a Radnóti M. u. 41/A. sz. alatti épület.</w:t>
      </w:r>
    </w:p>
    <w:p w14:paraId="371B4749" w14:textId="77777777" w:rsidR="0088096B" w:rsidRP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18. Újváros</w:t>
      </w:r>
    </w:p>
    <w:p w14:paraId="2C8A8DCB" w14:textId="77777777" w:rsidR="0088096B" w:rsidRDefault="0088096B" w:rsidP="0088096B">
      <w:pPr>
        <w:suppressAutoHyphens/>
        <w:spacing w:before="220" w:after="0" w:line="240" w:lineRule="auto"/>
        <w:jc w:val="both"/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</w:pPr>
      <w:r w:rsidRPr="0088096B">
        <w:rPr>
          <w:rFonts w:ascii="Times New Roman" w:eastAsia="Noto Serif CJK SC" w:hAnsi="Times New Roman" w:cs="Lohit Devanagari"/>
          <w:sz w:val="24"/>
          <w:szCs w:val="24"/>
          <w:lang w:eastAsia="zh-CN" w:bidi="hi-IN"/>
          <w14:ligatures w14:val="none"/>
        </w:rPr>
        <w:t>9025 postai irányítószámhoz tartozó terület; kivéve: a dr. Némethy E. sétány, a Ráth M. tér épületei és a Sziget lakóövezethez tartozó terület.</w:t>
      </w:r>
    </w:p>
    <w:p w14:paraId="6C09B840" w14:textId="77777777" w:rsidR="009F01B6" w:rsidRDefault="009F01B6"/>
    <w:sectPr w:rsidR="009F01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96B"/>
    <w:rsid w:val="0088096B"/>
    <w:rsid w:val="00956B8F"/>
    <w:rsid w:val="009F01B6"/>
    <w:rsid w:val="00B60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1792C"/>
  <w15:chartTrackingRefBased/>
  <w15:docId w15:val="{9632553A-A41F-465E-92C0-D138A45FA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next w:val="Norml"/>
    <w:link w:val="Cmsor1Char"/>
    <w:uiPriority w:val="9"/>
    <w:qFormat/>
    <w:rsid w:val="008809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8809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88096B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8809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88096B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88096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88096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88096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88096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88096B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88096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88096B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88096B"/>
    <w:rPr>
      <w:rFonts w:eastAsiaTheme="majorEastAsia" w:cstheme="majorBidi"/>
      <w:i/>
      <w:iCs/>
      <w:color w:val="365F91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88096B"/>
    <w:rPr>
      <w:rFonts w:eastAsiaTheme="majorEastAsia" w:cstheme="majorBidi"/>
      <w:color w:val="365F91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88096B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88096B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88096B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88096B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88096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8809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88096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8809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88096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88096B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88096B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88096B"/>
    <w:rPr>
      <w:i/>
      <w:iCs/>
      <w:color w:val="365F91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88096B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88096B"/>
    <w:rPr>
      <w:i/>
      <w:iCs/>
      <w:color w:val="365F91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88096B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310</Words>
  <Characters>2141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Lengyelné Sustik Regina</dc:creator>
  <cp:keywords/>
  <dc:description/>
  <cp:lastModifiedBy>Lengyelné Sustik Regina</cp:lastModifiedBy>
  <cp:revision>1</cp:revision>
  <dcterms:created xsi:type="dcterms:W3CDTF">2026-10-22T13:50:00Z</dcterms:created>
  <dcterms:modified xsi:type="dcterms:W3CDTF">2026-10-22T13:50:00Z</dcterms:modified>
</cp:coreProperties>
</file>