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D11" w:rsidRDefault="00CF0D11" w:rsidP="00CF0D11">
      <w:pPr>
        <w:pStyle w:val="Szvegtrzs"/>
        <w:spacing w:line="240" w:lineRule="auto"/>
        <w:jc w:val="right"/>
        <w:rPr>
          <w:rFonts w:ascii="Times New Roman" w:hAnsi="Times New Roman"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>1. melléklet a 25/2026. (X. 26.) önkormányzati rendelethez</w:t>
      </w:r>
    </w:p>
    <w:p w:rsidR="00CF0D11" w:rsidRDefault="00CF0D11" w:rsidP="00CF0D11">
      <w:pPr>
        <w:pStyle w:val="Szvegtrzs"/>
        <w:spacing w:before="240" w:after="48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Lakbértámogatás mértéke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825"/>
        <w:gridCol w:w="3825"/>
        <w:gridCol w:w="2158"/>
      </w:tblGrid>
      <w:tr w:rsidR="00CF0D11" w:rsidTr="006A2975">
        <w:tc>
          <w:tcPr>
            <w:tcW w:w="76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Az egy fogyasztási egységre jutó jövedelem a mindenkori minimálbér bruttó összegének %-ban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Kedvezmény mértéke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Egyedül élő személy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Egyéb háztartás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40%-ig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30%-ig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65%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40% felett - 43%-ig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30% felett - 32%-ig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60%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43% felett - 46%-ig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32% felett - 34%-ig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55%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46% felett - 49%-ig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34% felett - 36%-ig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50%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49% felett - 52%-ig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36% felett - 38%-ig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45%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52% felett - 55%-ig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38% felett - 40%-ig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40%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55% felett - 58%-ig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40% felett - 42%-ig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35%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58% felett - 61%-ig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42% felett - 44%-ig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30%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61% felett - 64%-ig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44% felett - 46%-ig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25%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64% felett - 67%-ig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46% felett - 48%-ig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20%</w:t>
            </w:r>
          </w:p>
        </w:tc>
      </w:tr>
      <w:tr w:rsidR="00CF0D11" w:rsidTr="006A2975"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67% felett - 70%-ig</w:t>
            </w:r>
          </w:p>
        </w:tc>
        <w:tc>
          <w:tcPr>
            <w:tcW w:w="3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48% felett - 50%-ig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15%</w:t>
            </w:r>
          </w:p>
        </w:tc>
      </w:tr>
    </w:tbl>
    <w:p w:rsidR="00CF0D11" w:rsidRDefault="00CF0D11" w:rsidP="00CF0D11">
      <w:pPr>
        <w:sectPr w:rsidR="00CF0D11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6" w:h="16668"/>
          <w:pgMar w:top="899" w:right="1077" w:bottom="1525" w:left="1077" w:header="340" w:footer="794" w:gutter="0"/>
          <w:cols w:space="708"/>
          <w:formProt w:val="0"/>
          <w:titlePg/>
          <w:docGrid w:linePitch="600" w:charSpace="32768"/>
        </w:sectPr>
      </w:pPr>
    </w:p>
    <w:p w:rsidR="00CF0D11" w:rsidRDefault="00CF0D11" w:rsidP="00CF0D1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</w:t>
      </w:r>
    </w:p>
    <w:p w:rsidR="00CF0D11" w:rsidRDefault="00CF0D11" w:rsidP="00CF0D11">
      <w:pPr>
        <w:pStyle w:val="Szvegtrzs"/>
        <w:spacing w:line="240" w:lineRule="auto"/>
        <w:jc w:val="right"/>
        <w:rPr>
          <w:rFonts w:ascii="Times New Roman" w:hAnsi="Times New Roman"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>2. melléklet a 25/2026. (X. 26.) önkormányzati rendelethez</w:t>
      </w:r>
    </w:p>
    <w:p w:rsidR="00CF0D11" w:rsidRDefault="00CF0D11" w:rsidP="00CF0D11">
      <w:pPr>
        <w:pStyle w:val="Szvegtrzs"/>
        <w:spacing w:before="240" w:after="480" w:line="240" w:lineRule="auto"/>
        <w:jc w:val="center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Személyes gondoskodást nyújtó ellátások intézményi térítési díja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 Egyesített Egészségügyi és Szociális Intézmény Győr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Ápolást, gondozást nyújtó intézmény telephelyenkénti intézményi térítési díja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1.1.1. étkezéssel: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1.1.1.1. </w:t>
      </w:r>
      <w:proofErr w:type="spellStart"/>
      <w:r>
        <w:rPr>
          <w:rFonts w:ascii="Times New Roman" w:hAnsi="Times New Roman"/>
        </w:rPr>
        <w:t>Kálóczy</w:t>
      </w:r>
      <w:proofErr w:type="spellEnd"/>
      <w:r>
        <w:rPr>
          <w:rFonts w:ascii="Times New Roman" w:hAnsi="Times New Roman"/>
        </w:rPr>
        <w:t xml:space="preserve"> tér 6 820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1.1.1.2. Mohi utca 6 930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1.1.1.3. Cuha utca 7 700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1.1.1.4. Lepke utca 7 700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1.1.2. étkezés nélkül: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1.1.2.1. </w:t>
      </w:r>
      <w:proofErr w:type="spellStart"/>
      <w:r>
        <w:rPr>
          <w:rFonts w:ascii="Times New Roman" w:hAnsi="Times New Roman"/>
        </w:rPr>
        <w:t>Kálóczy</w:t>
      </w:r>
      <w:proofErr w:type="spellEnd"/>
      <w:r>
        <w:rPr>
          <w:rFonts w:ascii="Times New Roman" w:hAnsi="Times New Roman"/>
        </w:rPr>
        <w:t xml:space="preserve"> tér 5 940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1.1.2.2. Mohi utca 6 050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1.1.2.3. Cuha utca 6 820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1.1.2.4. Lepke utca 6 820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Átmeneti ellátást nyújtó intézmény térítési díja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1.2.1. étkezéssel: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1.2.1.1. Répce utca 8 470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1.2.2. étkezés nélkül: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1.2.2.1. Répce utca 7 590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Házi segítségnyújtás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1.3.1. szociális segítés 2 000 Ft/óra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1.3.2. személyi gondozás 2 000 Ft/óra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Étkeztetés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1.4.1. ebéd 1 240,16 Ft/adag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1.4.2. ebéd házhozszállítás díja 488,19 Ft/alkalom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Jelzőrendszeres házi segítségnyújtás 100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 Idősek nappali ellátása - Idősek klubjai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1.6.1. idős személyek nappali ellátása étkezés nélkül 160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1.6.2. </w:t>
      </w:r>
      <w:proofErr w:type="spellStart"/>
      <w:r>
        <w:rPr>
          <w:rFonts w:ascii="Times New Roman" w:hAnsi="Times New Roman"/>
        </w:rPr>
        <w:t>demens</w:t>
      </w:r>
      <w:proofErr w:type="spellEnd"/>
      <w:r>
        <w:rPr>
          <w:rFonts w:ascii="Times New Roman" w:hAnsi="Times New Roman"/>
        </w:rPr>
        <w:t xml:space="preserve"> személyek nappali ellátása 3x-i étkezéssel (reggeli, tízórai, ebéd) 2 215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1.6.3. </w:t>
      </w:r>
      <w:proofErr w:type="spellStart"/>
      <w:r>
        <w:rPr>
          <w:rFonts w:ascii="Times New Roman" w:hAnsi="Times New Roman"/>
        </w:rPr>
        <w:t>demens</w:t>
      </w:r>
      <w:proofErr w:type="spellEnd"/>
      <w:r>
        <w:rPr>
          <w:rFonts w:ascii="Times New Roman" w:hAnsi="Times New Roman"/>
        </w:rPr>
        <w:t xml:space="preserve"> személyek nappali ellátása ebéddel 1 735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1.6.4. </w:t>
      </w:r>
      <w:proofErr w:type="spellStart"/>
      <w:r>
        <w:rPr>
          <w:rFonts w:ascii="Times New Roman" w:hAnsi="Times New Roman"/>
        </w:rPr>
        <w:t>demens</w:t>
      </w:r>
      <w:proofErr w:type="spellEnd"/>
      <w:r>
        <w:rPr>
          <w:rFonts w:ascii="Times New Roman" w:hAnsi="Times New Roman"/>
        </w:rPr>
        <w:t xml:space="preserve"> személyek nappali ellátása étkezés nélkül 160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1.6.5. </w:t>
      </w:r>
      <w:proofErr w:type="spellStart"/>
      <w:r>
        <w:rPr>
          <w:rFonts w:ascii="Times New Roman" w:hAnsi="Times New Roman"/>
        </w:rPr>
        <w:t>demens</w:t>
      </w:r>
      <w:proofErr w:type="spellEnd"/>
      <w:r>
        <w:rPr>
          <w:rFonts w:ascii="Times New Roman" w:hAnsi="Times New Roman"/>
        </w:rPr>
        <w:t xml:space="preserve"> személyek nappali ellátása - szállítási díj 433,07 Ft/alkalom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1.7. Fogyatékos személyek nappali intézménye – Fogyatékosok Napközi Otthona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1.7.1. napközbeni </w:t>
      </w:r>
      <w:proofErr w:type="gramStart"/>
      <w:r>
        <w:rPr>
          <w:rFonts w:ascii="Times New Roman" w:hAnsi="Times New Roman"/>
        </w:rPr>
        <w:t>tartózkodás szolgáltatás</w:t>
      </w:r>
      <w:proofErr w:type="gramEnd"/>
      <w:r>
        <w:rPr>
          <w:rFonts w:ascii="Times New Roman" w:hAnsi="Times New Roman"/>
        </w:rPr>
        <w:t xml:space="preserve"> étkezéssel (reggeli, tízórai, ebéd) 1 670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1.7.2. napközbeni </w:t>
      </w:r>
      <w:proofErr w:type="gramStart"/>
      <w:r>
        <w:rPr>
          <w:rFonts w:ascii="Times New Roman" w:hAnsi="Times New Roman"/>
        </w:rPr>
        <w:t>tartózkodás szolgáltatás</w:t>
      </w:r>
      <w:proofErr w:type="gramEnd"/>
      <w:r>
        <w:rPr>
          <w:rFonts w:ascii="Times New Roman" w:hAnsi="Times New Roman"/>
        </w:rPr>
        <w:t xml:space="preserve"> étkeztetés nélkül 160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 Hajléktalanokat Segítő Szolgálat Győr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 Bentlakást nyújtó intézmény telephelyenkénti intézményi térítési díja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 étkezéssel: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2.1.1.1. Hajléktalanok Otthona 2 750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2.1.1.2. Hajléktalanok Rehabilitációs Otthona 2 100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 étkezés nélkül: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2.1.2.1. Hajléktalanok Otthona 2 350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2.1.2.2. Hajléktalanok Rehabilitációs Otthona 1 800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2.2. Átmeneti szállás 640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2.3. Átmeneti szállás – külső férőhely felmerült lakhatási költség (mérőórák szerint)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2.4. Szociális étkeztetés (ebéd) 559,06 Ft/adag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3. Egyesített Bölcsődei Intézményhálózat Győr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 Gyermekek napközbeni ellátása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3.1.1. Étkeztetés 783,46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3.1.2. Gondozás 0 Ft/nap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Gyermeknevelést segítő szolgáltatás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3.2.1. Időszakos gyermekfelügyelet 1 721 Ft/óra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3.2.2. Játszóház 1 721 Ft/óra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Az intézményi térítési díj - az étkeztetés, az étel házhozszállítása és a szállítási díj kivételével - a tevékenység jellegére tekintettel mentes az áfa alól.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Az 1.4.1</w:t>
      </w:r>
      <w:proofErr w:type="gramStart"/>
      <w:r>
        <w:rPr>
          <w:rFonts w:ascii="Times New Roman" w:hAnsi="Times New Roman"/>
        </w:rPr>
        <w:t>.,</w:t>
      </w:r>
      <w:proofErr w:type="gramEnd"/>
      <w:r>
        <w:rPr>
          <w:rFonts w:ascii="Times New Roman" w:hAnsi="Times New Roman"/>
        </w:rPr>
        <w:t xml:space="preserve"> az 1.4.2., az 1.6.5., a 2.4. és a 3.1.1. alatti szolgáltatás intézményi térítési díja az áfát nem tartalmazza.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  <w:sectPr w:rsidR="00CF0D1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668"/>
          <w:pgMar w:top="899" w:right="1077" w:bottom="1525" w:left="1077" w:header="340" w:footer="794" w:gutter="0"/>
          <w:cols w:space="708"/>
          <w:formProt w:val="0"/>
          <w:titlePg/>
          <w:docGrid w:linePitch="600" w:charSpace="32768"/>
        </w:sectPr>
      </w:pPr>
      <w:r>
        <w:rPr>
          <w:rFonts w:ascii="Times New Roman" w:hAnsi="Times New Roman"/>
        </w:rPr>
        <w:lastRenderedPageBreak/>
        <w:t>A személyi térítési díj megállapításánál a szociális igazgatásról és szociális ellátásokról szóló 1993. évi III. törvény, a gyermekek védelméről és a gyámügyi igazgatásról szóló 1997. évi XXXI. törvény, az általános forgalmi adóról szóló 2007. évi CXXVII. törvény, valamint a személyes gondoskodást nyújtó szociális ellátások térítési díjáról szóló 29/1993. (II. 17.) Korm. rendelet előírásai az irányadók.</w:t>
      </w:r>
    </w:p>
    <w:p w:rsidR="00CF0D11" w:rsidRDefault="00CF0D11" w:rsidP="00CF0D11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 </w:t>
      </w:r>
    </w:p>
    <w:p w:rsidR="00CF0D11" w:rsidRDefault="00CF0D11" w:rsidP="00CF0D11">
      <w:pPr>
        <w:pStyle w:val="Szvegtrzs"/>
        <w:spacing w:line="240" w:lineRule="auto"/>
        <w:jc w:val="right"/>
        <w:rPr>
          <w:rFonts w:ascii="Times New Roman" w:hAnsi="Times New Roman"/>
          <w:i/>
          <w:iCs/>
          <w:u w:val="single"/>
        </w:rPr>
      </w:pPr>
      <w:r>
        <w:rPr>
          <w:rFonts w:ascii="Times New Roman" w:hAnsi="Times New Roman"/>
          <w:i/>
          <w:iCs/>
          <w:u w:val="single"/>
        </w:rPr>
        <w:t>3. melléklet a 25/2026. (X. 26.) önkormányzati rendelethez</w:t>
      </w:r>
    </w:p>
    <w:p w:rsidR="00CF0D11" w:rsidRDefault="00CF0D11" w:rsidP="00CF0D11">
      <w:pPr>
        <w:pStyle w:val="Szvegtrzs"/>
        <w:spacing w:before="240" w:after="48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 személyi térítési díj megállapításakor adható kedvezmény mértéke</w:t>
      </w:r>
    </w:p>
    <w:p w:rsidR="00CF0D11" w:rsidRDefault="00CF0D11" w:rsidP="00CF0D11">
      <w:pPr>
        <w:pStyle w:val="Szvegtrzs"/>
        <w:spacing w:before="2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Étkezés, étel kiszállítása, házi segítségnyújtás, </w:t>
      </w:r>
      <w:proofErr w:type="spellStart"/>
      <w:r>
        <w:rPr>
          <w:rFonts w:ascii="Times New Roman" w:hAnsi="Times New Roman"/>
        </w:rPr>
        <w:t>demens</w:t>
      </w:r>
      <w:proofErr w:type="spellEnd"/>
      <w:r>
        <w:rPr>
          <w:rFonts w:ascii="Times New Roman" w:hAnsi="Times New Roman"/>
        </w:rPr>
        <w:t xml:space="preserve"> személyek nappali ellátása</w:t>
      </w:r>
    </w:p>
    <w:tbl>
      <w:tblPr>
        <w:tblW w:w="5000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60"/>
        <w:gridCol w:w="5564"/>
        <w:gridCol w:w="3104"/>
      </w:tblGrid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Az egy főre jutó jövedelem a szociális vetítési alap összegének %-ában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Kedvezmény mértéke %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0% felett - 100%-ig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100% felett - 200%-ig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200% felett - 300%-ig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300% felett - 400%-ig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400% felett - 500%-ig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500% felett - 600%-ig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600% felett - 700%-ig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700% felett - 800%-ig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CF0D11" w:rsidTr="006A2975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800% felett</w:t>
            </w:r>
          </w:p>
        </w:tc>
        <w:tc>
          <w:tcPr>
            <w:tcW w:w="33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F0D11" w:rsidRDefault="00CF0D11" w:rsidP="006A2975">
            <w:pPr>
              <w:pStyle w:val="Szvegtrzs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4C77D9" w:rsidRDefault="004C77D9">
      <w:bookmarkStart w:id="0" w:name="_GoBack"/>
      <w:bookmarkEnd w:id="0"/>
    </w:p>
    <w:sectPr w:rsidR="004C77D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32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26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4</w:t>
    </w:r>
    <w: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32</w:t>
    </w:r>
    <w:r>
      <w:fldChar w:fldCharType="end"/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HeaderLef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HeaderLef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lfej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7DE" w:rsidRDefault="00CF0D11">
    <w:pPr>
      <w:pStyle w:val="Header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D11"/>
    <w:rsid w:val="004C77D9"/>
    <w:rsid w:val="00CF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0D11"/>
    <w:pPr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F0D11"/>
    <w:pPr>
      <w:spacing w:after="140" w:line="276" w:lineRule="auto"/>
    </w:pPr>
  </w:style>
  <w:style w:type="character" w:customStyle="1" w:styleId="SzvegtrzsChar">
    <w:name w:val="Szövegtörzs Char"/>
    <w:basedOn w:val="Bekezdsalapbettpusa"/>
    <w:link w:val="Szvegtrzs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rsid w:val="00CF0D11"/>
    <w:pPr>
      <w:suppressLineNumbers/>
      <w:tabs>
        <w:tab w:val="center" w:pos="4819"/>
        <w:tab w:val="right" w:pos="9638"/>
      </w:tabs>
    </w:pPr>
  </w:style>
  <w:style w:type="character" w:customStyle="1" w:styleId="lfejChar">
    <w:name w:val="Élőfej Char"/>
    <w:basedOn w:val="Bekezdsalapbettpusa"/>
    <w:link w:val="lfej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CF0D11"/>
    <w:pPr>
      <w:suppressLineNumbers/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HeaderLeft">
    <w:name w:val="Header Left"/>
    <w:basedOn w:val="lfej"/>
    <w:qFormat/>
    <w:rsid w:val="00CF0D11"/>
    <w:pPr>
      <w:tabs>
        <w:tab w:val="clear" w:pos="4819"/>
        <w:tab w:val="clear" w:pos="9638"/>
        <w:tab w:val="center" w:pos="4876"/>
        <w:tab w:val="right" w:pos="975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F0D11"/>
    <w:pPr>
      <w:suppressAutoHyphens/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CF0D11"/>
    <w:pPr>
      <w:spacing w:after="140" w:line="276" w:lineRule="auto"/>
    </w:pPr>
  </w:style>
  <w:style w:type="character" w:customStyle="1" w:styleId="SzvegtrzsChar">
    <w:name w:val="Szövegtörzs Char"/>
    <w:basedOn w:val="Bekezdsalapbettpusa"/>
    <w:link w:val="Szvegtrzs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fej">
    <w:name w:val="header"/>
    <w:basedOn w:val="Norml"/>
    <w:link w:val="lfejChar"/>
    <w:rsid w:val="00CF0D11"/>
    <w:pPr>
      <w:suppressLineNumbers/>
      <w:tabs>
        <w:tab w:val="center" w:pos="4819"/>
        <w:tab w:val="right" w:pos="9638"/>
      </w:tabs>
    </w:pPr>
  </w:style>
  <w:style w:type="character" w:customStyle="1" w:styleId="lfejChar">
    <w:name w:val="Élőfej Char"/>
    <w:basedOn w:val="Bekezdsalapbettpusa"/>
    <w:link w:val="lfej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styleId="llb">
    <w:name w:val="footer"/>
    <w:basedOn w:val="Norml"/>
    <w:link w:val="llbChar"/>
    <w:rsid w:val="00CF0D11"/>
    <w:pPr>
      <w:suppressLineNumbers/>
      <w:tabs>
        <w:tab w:val="center" w:pos="4819"/>
        <w:tab w:val="right" w:pos="9638"/>
      </w:tabs>
    </w:pPr>
  </w:style>
  <w:style w:type="character" w:customStyle="1" w:styleId="llbChar">
    <w:name w:val="Élőláb Char"/>
    <w:basedOn w:val="Bekezdsalapbettpusa"/>
    <w:link w:val="llb"/>
    <w:rsid w:val="00CF0D11"/>
    <w:rPr>
      <w:rFonts w:ascii="Liberation Serif" w:eastAsia="Noto Serif CJK SC" w:hAnsi="Liberation Serif" w:cs="Lohit Devanagari"/>
      <w:kern w:val="2"/>
      <w:sz w:val="24"/>
      <w:szCs w:val="24"/>
      <w:lang w:eastAsia="zh-CN" w:bidi="hi-IN"/>
    </w:rPr>
  </w:style>
  <w:style w:type="paragraph" w:customStyle="1" w:styleId="HeaderLeft">
    <w:name w:val="Header Left"/>
    <w:basedOn w:val="lfej"/>
    <w:qFormat/>
    <w:rsid w:val="00CF0D11"/>
    <w:pPr>
      <w:tabs>
        <w:tab w:val="clear" w:pos="4819"/>
        <w:tab w:val="clear" w:pos="9638"/>
        <w:tab w:val="center" w:pos="4876"/>
        <w:tab w:val="right" w:pos="975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4.xml"/><Relationship Id="rId18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header" Target="header9.xml"/><Relationship Id="rId7" Type="http://schemas.openxmlformats.org/officeDocument/2006/relationships/footer" Target="footer1.xml"/><Relationship Id="rId12" Type="http://schemas.openxmlformats.org/officeDocument/2006/relationships/header" Target="header5.xml"/><Relationship Id="rId17" Type="http://schemas.openxmlformats.org/officeDocument/2006/relationships/header" Target="header7.xml"/><Relationship Id="rId2" Type="http://schemas.microsoft.com/office/2007/relationships/stylesWithEffects" Target="stylesWithEffects.xml"/><Relationship Id="rId16" Type="http://schemas.openxmlformats.org/officeDocument/2006/relationships/footer" Target="footer6.xml"/><Relationship Id="rId20" Type="http://schemas.openxmlformats.org/officeDocument/2006/relationships/footer" Target="footer8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11" Type="http://schemas.openxmlformats.org/officeDocument/2006/relationships/header" Target="header4.xml"/><Relationship Id="rId24" Type="http://schemas.openxmlformats.org/officeDocument/2006/relationships/theme" Target="theme/theme1.xml"/><Relationship Id="rId5" Type="http://schemas.openxmlformats.org/officeDocument/2006/relationships/header" Target="header1.xml"/><Relationship Id="rId15" Type="http://schemas.openxmlformats.org/officeDocument/2006/relationships/header" Target="header6.xml"/><Relationship Id="rId23" Type="http://schemas.openxmlformats.org/officeDocument/2006/relationships/fontTable" Target="fontTable.xml"/><Relationship Id="rId10" Type="http://schemas.openxmlformats.org/officeDocument/2006/relationships/footer" Target="footer3.xml"/><Relationship Id="rId19" Type="http://schemas.openxmlformats.org/officeDocument/2006/relationships/footer" Target="footer7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oter" Target="footer5.xml"/><Relationship Id="rId22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552</Words>
  <Characters>3816</Characters>
  <Application>Microsoft Office Word</Application>
  <DocSecurity>0</DocSecurity>
  <Lines>31</Lines>
  <Paragraphs>8</Paragraphs>
  <ScaleCrop>false</ScaleCrop>
  <Company>Győr MJV PH</Company>
  <LinksUpToDate>false</LinksUpToDate>
  <CharactersWithSpaces>4360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Kékesiné Pápai Veronika</dc:creator>
  <cp:lastModifiedBy>Kékesiné Pápai Veronika</cp:lastModifiedBy>
  <cp:revision>1</cp:revision>
  <dcterms:created xsi:type="dcterms:W3CDTF">2026-10-26T08:36:00Z</dcterms:created>
  <dcterms:modified xsi:type="dcterms:W3CDTF">2026-10-26T08:37:00Z</dcterms:modified>
</cp:coreProperties>
</file>